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2BE" w:rsidRDefault="00FC32BE" w:rsidP="00FC32BE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FC32BE" w:rsidRPr="00365D21" w:rsidRDefault="00FC32BE" w:rsidP="00FC32BE">
      <w:pPr>
        <w:rPr>
          <w:lang w:val="en-US"/>
        </w:rPr>
      </w:pPr>
    </w:p>
    <w:p w:rsidR="00FC32BE" w:rsidRDefault="00FC32BE" w:rsidP="00FC32BE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86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13</w:t>
      </w:r>
      <w:r w:rsidRPr="00853B81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FC32BE" w:rsidRPr="00FC60A6" w:rsidRDefault="00FC32BE" w:rsidP="00FC32BE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 w:rsidRPr="00FC60A6">
        <w:rPr>
          <w:b/>
          <w:szCs w:val="24"/>
        </w:rPr>
        <w:t>ГАРАЖ – допълващо застрояване в ПИ 246026 от м.“Армането“ в землището на с.Кръвеник, Община Севлиево – застроена площ – 24,70 кв.м.</w:t>
      </w:r>
    </w:p>
    <w:p w:rsidR="00FC32BE" w:rsidRDefault="00FC32BE" w:rsidP="00FC32BE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На името на: </w:t>
      </w:r>
      <w:r>
        <w:rPr>
          <w:rFonts w:ascii="Times New Roman" w:hAnsi="Times New Roman" w:cs="Times New Roman"/>
          <w:b/>
        </w:rPr>
        <w:t>НИКОЛА ТОНЧЕВ КОЛЕВ</w:t>
      </w:r>
    </w:p>
    <w:p w:rsidR="00FC32BE" w:rsidRDefault="00FC32BE" w:rsidP="00FC32B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FC32BE" w:rsidRPr="00736E0A" w:rsidRDefault="00FC32BE" w:rsidP="00FC32B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B47B9A" w:rsidRDefault="00B47B9A"/>
    <w:sectPr w:rsidR="00B47B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2BE"/>
    <w:rsid w:val="00117D97"/>
    <w:rsid w:val="00B47B9A"/>
    <w:rsid w:val="00FC3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2BE"/>
  </w:style>
  <w:style w:type="paragraph" w:styleId="1">
    <w:name w:val="heading 1"/>
    <w:basedOn w:val="a"/>
    <w:next w:val="a"/>
    <w:link w:val="10"/>
    <w:qFormat/>
    <w:rsid w:val="00FC32BE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FC32BE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2BE"/>
  </w:style>
  <w:style w:type="paragraph" w:styleId="1">
    <w:name w:val="heading 1"/>
    <w:basedOn w:val="a"/>
    <w:next w:val="a"/>
    <w:link w:val="10"/>
    <w:qFormat/>
    <w:rsid w:val="00FC32BE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FC32BE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2020-01-23T12:31:00Z</dcterms:created>
  <dcterms:modified xsi:type="dcterms:W3CDTF">2020-01-23T12:31:00Z</dcterms:modified>
</cp:coreProperties>
</file>